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20" w:rsidRDefault="00475CF0" w:rsidP="00E6620E">
      <w:pPr>
        <w:pStyle w:val="berschrift32"/>
        <w:suppressLineNumbers/>
        <w:shd w:val="clear" w:color="auto" w:fill="FFFFFF"/>
        <w:tabs>
          <w:tab w:val="left" w:pos="7740"/>
        </w:tabs>
        <w:spacing w:line="360" w:lineRule="auto"/>
        <w:ind w:left="142"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Presseinformation vom 31.08.2020</w:t>
      </w:r>
    </w:p>
    <w:p w:rsidR="00D335FC" w:rsidRDefault="00D335FC" w:rsidP="00E6620E">
      <w:pPr>
        <w:pStyle w:val="berschrift32"/>
        <w:suppressLineNumbers/>
        <w:shd w:val="clear" w:color="auto" w:fill="FFFFFF"/>
        <w:tabs>
          <w:tab w:val="left" w:pos="7740"/>
        </w:tabs>
        <w:spacing w:line="360" w:lineRule="auto"/>
        <w:ind w:left="142" w:right="1692"/>
        <w:jc w:val="both"/>
        <w:rPr>
          <w:rFonts w:ascii="Arial" w:hAnsi="Arial" w:cs="Arial"/>
          <w:sz w:val="20"/>
          <w:szCs w:val="20"/>
        </w:rPr>
      </w:pPr>
    </w:p>
    <w:p w:rsidR="00D335FC" w:rsidRPr="00D335FC" w:rsidRDefault="00992DBA" w:rsidP="00D335FC">
      <w:pPr>
        <w:suppressLineNumbers/>
        <w:spacing w:after="240" w:line="264" w:lineRule="auto"/>
        <w:ind w:left="142" w:right="-284"/>
        <w:rPr>
          <w:rFonts w:ascii="Arial" w:hAnsi="Arial" w:cs="Arial"/>
          <w:b/>
          <w:spacing w:val="-2"/>
          <w:sz w:val="36"/>
          <w:szCs w:val="36"/>
        </w:rPr>
      </w:pPr>
      <w:r>
        <w:rPr>
          <w:rFonts w:ascii="Arial" w:hAnsi="Arial" w:cs="Arial"/>
          <w:b/>
          <w:spacing w:val="-2"/>
          <w:sz w:val="36"/>
          <w:szCs w:val="36"/>
        </w:rPr>
        <w:t>Durchgängig effizient</w:t>
      </w:r>
    </w:p>
    <w:p w:rsidR="00992DBA" w:rsidRDefault="00992DBA" w:rsidP="00992DBA">
      <w:pPr>
        <w:spacing w:after="200" w:line="360" w:lineRule="auto"/>
        <w:ind w:left="142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Was 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INDEX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im Jahr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2020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zu bieten hat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weist für viele Produktionsunternehmen den Weg: 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>modernste Maschinen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entwicklungen,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effiziente Automatisierungslösungen und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eine 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sich permanent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weiterentwickelnde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digitale INDEX-Welt „</w:t>
      </w:r>
      <w:proofErr w:type="spellStart"/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>iXworld</w:t>
      </w:r>
      <w:proofErr w:type="spellEnd"/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>“.</w:t>
      </w:r>
      <w:r w:rsidRPr="00992DB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So sieht die 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Metallbearbeitung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der</w:t>
      </w: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Zukunft aus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B34F75" w:rsidRDefault="00992DBA" w:rsidP="008A630D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Es ist Premierenzeit: Mit der 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INDEX G400 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 xml:space="preserve">stellt der Esslinger Drehmaschinenhersteller 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>ein Komplettbearbeitungszentrum der Sonderklasse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 xml:space="preserve"> vor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>, das sich für bis zu 1600</w:t>
      </w:r>
      <w:r w:rsidR="00DB4556">
        <w:rPr>
          <w:rFonts w:ascii="Arial" w:eastAsiaTheme="minorHAnsi" w:hAnsi="Arial" w:cs="Arial"/>
          <w:sz w:val="20"/>
          <w:szCs w:val="20"/>
          <w:lang w:eastAsia="en-US"/>
        </w:rPr>
        <w:t xml:space="preserve"> / 2300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 mm lange Teile eignet. 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m Gegensatz zur 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 xml:space="preserve">2019 neu entwickelten 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>Schwestermaschine INDEX G420, deren oberer Werkzeugträger als Motorfrässpindel mit großem Werkzeugmagazin ausgeführt ist, besitzt die INDEX G400 an deren Stelle einen VDI-40 Revolver mit zwölf Stationen</w:t>
      </w:r>
      <w:r w:rsidR="006503D7">
        <w:rPr>
          <w:rFonts w:ascii="Arial" w:eastAsiaTheme="minorHAnsi" w:hAnsi="Arial" w:cs="Arial"/>
          <w:sz w:val="20"/>
          <w:szCs w:val="20"/>
          <w:lang w:eastAsia="en-US"/>
        </w:rPr>
        <w:t xml:space="preserve"> und eine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 Pinole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 xml:space="preserve">, die 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>einen Y-Hub von ±100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>mm</w:t>
      </w:r>
      <w:r w:rsidR="00B34F75" w:rsidRPr="00B34F7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4F75" w:rsidRPr="002832DE">
        <w:rPr>
          <w:rFonts w:ascii="Arial" w:eastAsiaTheme="minorHAnsi" w:hAnsi="Arial" w:cs="Arial"/>
          <w:sz w:val="20"/>
          <w:szCs w:val="20"/>
          <w:lang w:eastAsia="en-US"/>
        </w:rPr>
        <w:t>ermöglicht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A630D" w:rsidRPr="00B34F75" w:rsidRDefault="00B34F75" w:rsidP="00B34F75">
      <w:pPr>
        <w:spacing w:after="200" w:line="360" w:lineRule="auto"/>
        <w:ind w:left="142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34F75">
        <w:rPr>
          <w:rFonts w:ascii="Arial" w:eastAsiaTheme="minorHAnsi" w:hAnsi="Arial" w:cs="Arial"/>
          <w:bCs/>
          <w:sz w:val="20"/>
          <w:szCs w:val="20"/>
          <w:lang w:eastAsia="en-US"/>
        </w:rPr>
        <w:t>Doch w</w:t>
      </w:r>
      <w:r w:rsidR="00992DBA" w:rsidRPr="00B34F7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as wäre modernste Maschinentechnik ohne passende Automatisierung?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Für die INDEX G400 und andere Maschinen diese</w:t>
      </w:r>
      <w:r w:rsidR="006503D7">
        <w:rPr>
          <w:rFonts w:ascii="Arial" w:eastAsiaTheme="minorHAnsi" w:hAnsi="Arial" w:cs="Arial"/>
          <w:bCs/>
          <w:sz w:val="20"/>
          <w:szCs w:val="20"/>
          <w:lang w:eastAsia="en-US"/>
        </w:rPr>
        <w:t>r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Größenordnung ist – neben integrierten Handhabungseinheiten – seit kurzem die Roboterzelle </w:t>
      </w:r>
      <w:proofErr w:type="spellStart"/>
      <w:r w:rsidRPr="00B34F75">
        <w:rPr>
          <w:rFonts w:ascii="Arial" w:eastAsiaTheme="minorHAnsi" w:hAnsi="Arial" w:cs="Arial"/>
          <w:bCs/>
          <w:sz w:val="20"/>
          <w:szCs w:val="20"/>
          <w:lang w:eastAsia="en-US"/>
        </w:rPr>
        <w:t>iXcenter</w:t>
      </w:r>
      <w:proofErr w:type="spellEnd"/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verfügbar. </w:t>
      </w:r>
      <w:r w:rsidR="006503D7">
        <w:rPr>
          <w:rFonts w:ascii="Arial" w:eastAsiaTheme="minorHAnsi" w:hAnsi="Arial" w:cs="Arial"/>
          <w:sz w:val="20"/>
          <w:szCs w:val="20"/>
          <w:lang w:eastAsia="en-US"/>
        </w:rPr>
        <w:t>Sie lässt sich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 nicht nur zum </w:t>
      </w:r>
      <w:proofErr w:type="spellStart"/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>Be</w:t>
      </w:r>
      <w:proofErr w:type="spellEnd"/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 xml:space="preserve">- und Entladen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 xml:space="preserve">von 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>großen, schweren Werkstücke nutzen, sondern auch für vielerlei</w:t>
      </w:r>
      <w:r w:rsidR="00111E3E">
        <w:rPr>
          <w:rFonts w:ascii="Arial" w:eastAsiaTheme="minorHAnsi" w:hAnsi="Arial" w:cs="Arial"/>
          <w:sz w:val="20"/>
          <w:szCs w:val="20"/>
          <w:lang w:eastAsia="en-US"/>
        </w:rPr>
        <w:t xml:space="preserve"> vor-und </w:t>
      </w:r>
      <w:r w:rsidR="008A630D" w:rsidRPr="002832DE">
        <w:rPr>
          <w:rFonts w:ascii="Arial" w:eastAsiaTheme="minorHAnsi" w:hAnsi="Arial" w:cs="Arial"/>
          <w:sz w:val="20"/>
          <w:szCs w:val="20"/>
          <w:lang w:eastAsia="en-US"/>
        </w:rPr>
        <w:t>nachgeordnete Aufgaben.</w:t>
      </w:r>
    </w:p>
    <w:p w:rsidR="007874F6" w:rsidRPr="007874F6" w:rsidRDefault="007874F6" w:rsidP="007874F6">
      <w:pPr>
        <w:spacing w:after="200" w:line="360" w:lineRule="auto"/>
        <w:ind w:left="142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874F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Rüstzeiten verkürzen, Stückkosten senken</w:t>
      </w:r>
    </w:p>
    <w:p w:rsidR="00D407E1" w:rsidRPr="00D335FC" w:rsidRDefault="002F40C9" w:rsidP="00422AE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sz w:val="20"/>
          <w:szCs w:val="20"/>
          <w:lang w:eastAsia="en-US"/>
        </w:rPr>
        <w:t>Premiere</w:t>
      </w:r>
      <w:r w:rsidR="0088677D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feiert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4F75">
        <w:rPr>
          <w:rFonts w:ascii="Arial" w:eastAsiaTheme="minorHAnsi" w:hAnsi="Arial" w:cs="Arial"/>
          <w:sz w:val="20"/>
          <w:szCs w:val="20"/>
          <w:lang w:eastAsia="en-US"/>
        </w:rPr>
        <w:t xml:space="preserve">auch 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die </w:t>
      </w:r>
      <w:r w:rsidR="00153114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zweite Generation 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 xml:space="preserve">der </w:t>
      </w:r>
      <w:r w:rsidR="008A6D13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TRAUB 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>TNL12</w:t>
      </w:r>
      <w:r w:rsidR="008A6D13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, ein Langdrehautomat, </w:t>
      </w:r>
      <w:r w:rsidR="00153114" w:rsidRPr="008A630D">
        <w:rPr>
          <w:rFonts w:ascii="Arial" w:eastAsiaTheme="minorHAnsi" w:hAnsi="Arial" w:cs="Arial"/>
          <w:sz w:val="20"/>
          <w:szCs w:val="20"/>
          <w:lang w:eastAsia="en-US"/>
        </w:rPr>
        <w:t>der sich jetzt, wie seine größeren Geschwister, in kurzer Zeit auf einen Kurzdreher umrüsten lässt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407E1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A613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Er überzeugt durch seinen kompakten Aufbau mit verbesserter Kinematik. 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 xml:space="preserve">Das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bedeutet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 xml:space="preserve"> für die Produktion </w:t>
      </w:r>
      <w:r w:rsidR="005310D0" w:rsidRPr="00D335FC">
        <w:rPr>
          <w:rFonts w:ascii="Arial" w:eastAsiaTheme="minorHAnsi" w:hAnsi="Arial" w:cs="Arial"/>
          <w:sz w:val="20"/>
          <w:szCs w:val="20"/>
          <w:lang w:eastAsia="en-US"/>
        </w:rPr>
        <w:t>kleine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="005310D0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Präzisionsdrehteile</w:t>
      </w:r>
      <w:r w:rsidR="00153114">
        <w:rPr>
          <w:rFonts w:ascii="Arial" w:eastAsiaTheme="minorHAnsi" w:hAnsi="Arial" w:cs="Arial"/>
          <w:sz w:val="20"/>
          <w:szCs w:val="20"/>
          <w:lang w:eastAsia="en-US"/>
        </w:rPr>
        <w:t>: mehr</w:t>
      </w:r>
      <w:r w:rsidR="00B34F75" w:rsidRPr="00B34F7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4F75" w:rsidRPr="008A630D">
        <w:rPr>
          <w:rFonts w:ascii="Arial" w:eastAsiaTheme="minorHAnsi" w:hAnsi="Arial" w:cs="Arial"/>
          <w:sz w:val="20"/>
          <w:szCs w:val="20"/>
          <w:lang w:eastAsia="en-US"/>
        </w:rPr>
        <w:t>Produktivität und Flexibilität bei gleichzeitig reduziertem Platzbedarf.</w:t>
      </w:r>
    </w:p>
    <w:p w:rsidR="00153114" w:rsidRDefault="00153114" w:rsidP="00422AE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sz w:val="20"/>
          <w:szCs w:val="20"/>
          <w:lang w:eastAsia="en-US"/>
        </w:rPr>
        <w:t>Ein weiteres Highlight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 ist d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 xml:space="preserve">er </w:t>
      </w:r>
      <w:r w:rsidR="00B747CF" w:rsidRPr="00153114">
        <w:rPr>
          <w:rFonts w:ascii="Arial" w:eastAsiaTheme="minorHAnsi" w:hAnsi="Arial" w:cs="Arial"/>
          <w:sz w:val="20"/>
          <w:szCs w:val="20"/>
          <w:lang w:eastAsia="en-US"/>
        </w:rPr>
        <w:t>neuentwickelte CNC-gesteuerte Mehrspindeldrehautomat MS24-6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 xml:space="preserve">Nachfolger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des 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 xml:space="preserve">INDEX </w:t>
      </w:r>
      <w:proofErr w:type="spellStart"/>
      <w:r w:rsidRPr="00153114">
        <w:rPr>
          <w:rFonts w:ascii="Arial" w:eastAsiaTheme="minorHAnsi" w:hAnsi="Arial" w:cs="Arial"/>
          <w:sz w:val="20"/>
          <w:szCs w:val="20"/>
          <w:lang w:eastAsia="en-US"/>
        </w:rPr>
        <w:t>Mehrspindler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s</w:t>
      </w:r>
      <w:proofErr w:type="spellEnd"/>
      <w:r w:rsidRPr="00153114">
        <w:rPr>
          <w:rFonts w:ascii="Arial" w:eastAsiaTheme="minorHAnsi" w:hAnsi="Arial" w:cs="Arial"/>
          <w:sz w:val="20"/>
          <w:szCs w:val="20"/>
          <w:lang w:eastAsia="en-US"/>
        </w:rPr>
        <w:t xml:space="preserve"> MS22</w:t>
      </w:r>
      <w:r w:rsidR="008F328D">
        <w:rPr>
          <w:rFonts w:ascii="Arial" w:eastAsiaTheme="minorHAnsi" w:hAnsi="Arial" w:cs="Arial"/>
          <w:sz w:val="20"/>
          <w:szCs w:val="20"/>
          <w:lang w:eastAsia="en-US"/>
        </w:rPr>
        <w:t>-6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>. Etwas größer im maximalen Stangendurchmesser, aber insgesamt kompakter gebaut und mit zahlreichen Features, die eine h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>och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 xml:space="preserve">wirtschaftliche Drehbearbeitung gewährleisten – schnelles </w:t>
      </w:r>
      <w:r w:rsidR="00EB3642">
        <w:rPr>
          <w:rFonts w:ascii="Arial" w:eastAsiaTheme="minorHAnsi" w:hAnsi="Arial" w:cs="Arial"/>
          <w:sz w:val="20"/>
          <w:szCs w:val="20"/>
          <w:lang w:eastAsia="en-US"/>
        </w:rPr>
        <w:t xml:space="preserve">und einfaches </w:t>
      </w:r>
      <w:r w:rsidRPr="00153114">
        <w:rPr>
          <w:rFonts w:ascii="Arial" w:eastAsiaTheme="minorHAnsi" w:hAnsi="Arial" w:cs="Arial"/>
          <w:sz w:val="20"/>
          <w:szCs w:val="20"/>
          <w:lang w:eastAsia="en-US"/>
        </w:rPr>
        <w:t>Rüsten inklusive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6503D7">
        <w:rPr>
          <w:rFonts w:ascii="Arial" w:eastAsiaTheme="minorHAnsi" w:hAnsi="Arial" w:cs="Arial"/>
          <w:sz w:val="20"/>
          <w:szCs w:val="20"/>
          <w:lang w:eastAsia="en-US"/>
        </w:rPr>
        <w:t>Das zahlt sich aus.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503D7">
        <w:rPr>
          <w:rFonts w:ascii="Arial" w:eastAsiaTheme="minorHAnsi" w:hAnsi="Arial" w:cs="Arial"/>
          <w:sz w:val="20"/>
          <w:szCs w:val="20"/>
          <w:lang w:eastAsia="en-US"/>
        </w:rPr>
        <w:t xml:space="preserve">Denn </w:t>
      </w:r>
      <w:r w:rsidRPr="004374D7">
        <w:rPr>
          <w:rFonts w:ascii="Arial" w:eastAsiaTheme="minorHAnsi" w:hAnsi="Arial" w:cs="Arial"/>
          <w:sz w:val="20"/>
          <w:szCs w:val="20"/>
          <w:lang w:eastAsia="en-US"/>
        </w:rPr>
        <w:t xml:space="preserve">heute </w:t>
      </w:r>
      <w:r w:rsidR="009D37A3" w:rsidRPr="004374D7">
        <w:rPr>
          <w:rFonts w:ascii="Arial" w:eastAsiaTheme="minorHAnsi" w:hAnsi="Arial" w:cs="Arial"/>
          <w:sz w:val="20"/>
          <w:szCs w:val="20"/>
          <w:lang w:eastAsia="en-US"/>
        </w:rPr>
        <w:t xml:space="preserve">ist es </w:t>
      </w:r>
      <w:r w:rsidRPr="004374D7">
        <w:rPr>
          <w:rFonts w:ascii="Arial" w:eastAsiaTheme="minorHAnsi" w:hAnsi="Arial" w:cs="Arial"/>
          <w:sz w:val="20"/>
          <w:szCs w:val="20"/>
          <w:lang w:eastAsia="en-US"/>
        </w:rPr>
        <w:t xml:space="preserve">keine Seltenheit, dass ein Lohndreher seine </w:t>
      </w:r>
      <w:proofErr w:type="spellStart"/>
      <w:r w:rsidRPr="004374D7">
        <w:rPr>
          <w:rFonts w:ascii="Arial" w:eastAsiaTheme="minorHAnsi" w:hAnsi="Arial" w:cs="Arial"/>
          <w:sz w:val="20"/>
          <w:szCs w:val="20"/>
          <w:lang w:eastAsia="en-US"/>
        </w:rPr>
        <w:t>Mehrspindler</w:t>
      </w:r>
      <w:proofErr w:type="spellEnd"/>
      <w:r w:rsidRPr="004374D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>mehrmals pro Woche</w:t>
      </w:r>
      <w:r w:rsidRPr="004374D7">
        <w:rPr>
          <w:rFonts w:ascii="Arial" w:eastAsiaTheme="minorHAnsi" w:hAnsi="Arial" w:cs="Arial"/>
          <w:sz w:val="20"/>
          <w:szCs w:val="20"/>
          <w:lang w:eastAsia="en-US"/>
        </w:rPr>
        <w:t xml:space="preserve"> umrüsten muss.</w:t>
      </w:r>
    </w:p>
    <w:p w:rsidR="008F328D" w:rsidRDefault="008F328D" w:rsidP="00422AE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Im Bereich der Universaldrehmaschinen erweitert INDEX sein Portfolio mit der TRAUB TNA500 eine kräftige und robuste Maschine mit vielen </w:t>
      </w:r>
      <w:r w:rsidR="00095D05">
        <w:rPr>
          <w:rFonts w:ascii="Arial" w:eastAsiaTheme="minorHAnsi" w:hAnsi="Arial" w:cs="Arial"/>
          <w:sz w:val="20"/>
          <w:szCs w:val="20"/>
          <w:lang w:eastAsia="en-US"/>
        </w:rPr>
        <w:t>praktischen Ausstattungsmerkmalen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für die Null- bis Mittelserie.</w:t>
      </w:r>
    </w:p>
    <w:p w:rsidR="008F328D" w:rsidRDefault="008F328D" w:rsidP="00422AE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2782" w:rsidRPr="00D335FC" w:rsidRDefault="00B747CF" w:rsidP="002C2782">
      <w:pPr>
        <w:spacing w:after="200" w:line="360" w:lineRule="auto"/>
        <w:ind w:left="142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747CF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Digitalisierung</w:t>
      </w:r>
      <w:r w:rsidR="002A462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weist den Weg in die Zukunft</w:t>
      </w:r>
    </w:p>
    <w:p w:rsidR="00111E3E" w:rsidRDefault="00EB3642" w:rsidP="008A630D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Schon vor Jahren erkannte INDEX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die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76180" w:rsidRPr="00D335FC">
        <w:rPr>
          <w:rFonts w:ascii="Arial" w:eastAsiaTheme="minorHAnsi" w:hAnsi="Arial" w:cs="Arial"/>
          <w:sz w:val="20"/>
          <w:szCs w:val="20"/>
          <w:lang w:eastAsia="en-US"/>
        </w:rPr>
        <w:t>grundsätzliche</w:t>
      </w:r>
      <w:r w:rsidR="0019275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Bedeutung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der Digitalisierung </w:t>
      </w:r>
      <w:r w:rsidR="0019275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für </w:t>
      </w:r>
      <w:r w:rsidR="007874F6">
        <w:rPr>
          <w:rFonts w:ascii="Arial" w:eastAsiaTheme="minorHAnsi" w:hAnsi="Arial" w:cs="Arial"/>
          <w:sz w:val="20"/>
          <w:szCs w:val="20"/>
          <w:lang w:eastAsia="en-US"/>
        </w:rPr>
        <w:t>die Zerspanung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swelt – </w:t>
      </w:r>
      <w:r w:rsidR="007874F6">
        <w:rPr>
          <w:rFonts w:ascii="Arial" w:eastAsiaTheme="minorHAnsi" w:hAnsi="Arial" w:cs="Arial"/>
          <w:sz w:val="20"/>
          <w:szCs w:val="20"/>
          <w:lang w:eastAsia="en-US"/>
        </w:rPr>
        <w:t xml:space="preserve">und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 xml:space="preserve">entwickelte die </w:t>
      </w:r>
      <w:r w:rsidR="00CA1540" w:rsidRPr="00D335FC">
        <w:rPr>
          <w:rFonts w:ascii="Arial" w:eastAsiaTheme="minorHAnsi" w:hAnsi="Arial" w:cs="Arial"/>
          <w:sz w:val="20"/>
          <w:szCs w:val="20"/>
          <w:lang w:eastAsia="en-US"/>
        </w:rPr>
        <w:t>cloudbasierte</w:t>
      </w:r>
      <w:r w:rsidR="007874F6"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CA1540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Plattform </w:t>
      </w:r>
      <w:proofErr w:type="spellStart"/>
      <w:r w:rsidR="00CA1540" w:rsidRPr="00D335FC">
        <w:rPr>
          <w:rFonts w:ascii="Arial" w:eastAsiaTheme="minorHAnsi" w:hAnsi="Arial" w:cs="Arial"/>
          <w:sz w:val="20"/>
          <w:szCs w:val="20"/>
          <w:lang w:eastAsia="en-US"/>
        </w:rPr>
        <w:t>iXworld</w:t>
      </w:r>
      <w:proofErr w:type="spellEnd"/>
      <w:r w:rsidR="0019275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. In rasantem Tempo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>wurde</w:t>
      </w:r>
      <w:r w:rsidR="0019275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das Angebot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>verfügbarer Apps erweitert</w:t>
      </w:r>
      <w:r w:rsidR="006F25E1" w:rsidRPr="00D335F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Deutlich zu sehen an der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INDEX </w:t>
      </w:r>
      <w:proofErr w:type="spellStart"/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>IoT</w:t>
      </w:r>
      <w:proofErr w:type="spellEnd"/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>-Plattform</w:t>
      </w:r>
      <w:r w:rsidRPr="00EB36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>iX4.0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, die es ermöglicht, alle Produktionsmaschinen in </w:t>
      </w:r>
      <w:r w:rsidR="007874F6">
        <w:rPr>
          <w:rFonts w:ascii="Arial" w:eastAsiaTheme="minorHAnsi" w:hAnsi="Arial" w:cs="Arial"/>
          <w:sz w:val="20"/>
          <w:szCs w:val="20"/>
          <w:lang w:eastAsia="en-US"/>
        </w:rPr>
        <w:t>ein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digitale</w:t>
      </w:r>
      <w:r w:rsidR="007874F6">
        <w:rPr>
          <w:rFonts w:ascii="Arial" w:eastAsiaTheme="minorHAnsi" w:hAnsi="Arial" w:cs="Arial"/>
          <w:sz w:val="20"/>
          <w:szCs w:val="20"/>
          <w:lang w:eastAsia="en-US"/>
        </w:rPr>
        <w:t xml:space="preserve">s Umfeld 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>einzubinden</w:t>
      </w:r>
      <w:r w:rsidR="004D1092">
        <w:rPr>
          <w:rFonts w:ascii="Arial" w:eastAsiaTheme="minorHAnsi" w:hAnsi="Arial" w:cs="Arial"/>
          <w:sz w:val="20"/>
          <w:szCs w:val="20"/>
          <w:lang w:eastAsia="en-US"/>
        </w:rPr>
        <w:t xml:space="preserve"> und verschiedene</w:t>
      </w:r>
      <w:r w:rsidR="00E24CCC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iX4.0-Apps </w:t>
      </w:r>
      <w:r w:rsidR="004D1092">
        <w:rPr>
          <w:rFonts w:ascii="Arial" w:eastAsiaTheme="minorHAnsi" w:hAnsi="Arial" w:cs="Arial"/>
          <w:sz w:val="20"/>
          <w:szCs w:val="20"/>
          <w:lang w:eastAsia="en-US"/>
        </w:rPr>
        <w:t>zu nutzen. Diese</w:t>
      </w:r>
      <w:r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 Software</w:t>
      </w:r>
      <w:r w:rsidR="004D1092">
        <w:rPr>
          <w:rFonts w:ascii="Arial" w:eastAsiaTheme="minorHAnsi" w:hAnsi="Arial" w:cs="Arial"/>
          <w:sz w:val="20"/>
          <w:szCs w:val="20"/>
          <w:lang w:eastAsia="en-US"/>
        </w:rPr>
        <w:t>-Tools helfen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 dabei</w:t>
      </w:r>
      <w:r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, laufende Produktivitätsverluste zu erkennen, ungeplante </w:t>
      </w:r>
      <w:proofErr w:type="spellStart"/>
      <w:r w:rsidRPr="008A630D">
        <w:rPr>
          <w:rFonts w:ascii="Arial" w:eastAsiaTheme="minorHAnsi" w:hAnsi="Arial" w:cs="Arial"/>
          <w:sz w:val="20"/>
          <w:szCs w:val="20"/>
          <w:lang w:eastAsia="en-US"/>
        </w:rPr>
        <w:t>Stillstandszeiten</w:t>
      </w:r>
      <w:proofErr w:type="spellEnd"/>
      <w:r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 zu reduzieren und Ausfallzeiten zu minimieren.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Wer das </w:t>
      </w:r>
      <w:r w:rsidR="00111E3E">
        <w:rPr>
          <w:rFonts w:ascii="Arial" w:eastAsiaTheme="minorHAnsi" w:hAnsi="Arial" w:cs="Arial"/>
          <w:sz w:val="20"/>
          <w:szCs w:val="20"/>
          <w:lang w:eastAsia="en-US"/>
        </w:rPr>
        <w:t>selbst testen möchte</w:t>
      </w:r>
      <w:r>
        <w:rPr>
          <w:rFonts w:ascii="Arial" w:eastAsiaTheme="minorHAnsi" w:hAnsi="Arial" w:cs="Arial"/>
          <w:sz w:val="20"/>
          <w:szCs w:val="20"/>
          <w:lang w:eastAsia="en-US"/>
        </w:rPr>
        <w:t>, kann mit dem</w:t>
      </w:r>
      <w:r w:rsidR="00DE40C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kostenfreie</w:t>
      </w: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DE40C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Einführungsangebot </w:t>
      </w:r>
      <w:r w:rsidR="00E93E16" w:rsidRPr="00D335FC">
        <w:rPr>
          <w:rFonts w:ascii="Arial" w:eastAsiaTheme="minorHAnsi" w:hAnsi="Arial" w:cs="Arial"/>
          <w:sz w:val="20"/>
          <w:szCs w:val="20"/>
          <w:lang w:eastAsia="en-US"/>
        </w:rPr>
        <w:t>„</w:t>
      </w:r>
      <w:r w:rsidR="00DE40C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iX4.0 </w:t>
      </w:r>
      <w:proofErr w:type="spellStart"/>
      <w:r w:rsidR="00DE40C9" w:rsidRPr="00D335FC">
        <w:rPr>
          <w:rFonts w:ascii="Arial" w:eastAsiaTheme="minorHAnsi" w:hAnsi="Arial" w:cs="Arial"/>
          <w:sz w:val="20"/>
          <w:szCs w:val="20"/>
          <w:lang w:eastAsia="en-US"/>
        </w:rPr>
        <w:t>go</w:t>
      </w:r>
      <w:proofErr w:type="spellEnd"/>
      <w:r w:rsidR="00E93E16" w:rsidRPr="00D335FC">
        <w:rPr>
          <w:rFonts w:ascii="Arial" w:eastAsiaTheme="minorHAnsi" w:hAnsi="Arial" w:cs="Arial"/>
          <w:sz w:val="20"/>
          <w:szCs w:val="20"/>
          <w:lang w:eastAsia="en-US"/>
        </w:rPr>
        <w:t>“</w:t>
      </w:r>
      <w:r w:rsidR="00DE40C9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11E3E">
        <w:rPr>
          <w:rFonts w:ascii="Arial" w:eastAsiaTheme="minorHAnsi" w:hAnsi="Arial" w:cs="Arial"/>
          <w:sz w:val="20"/>
          <w:szCs w:val="20"/>
          <w:lang w:eastAsia="en-US"/>
        </w:rPr>
        <w:t>in die digitale Welt starten.</w:t>
      </w:r>
    </w:p>
    <w:p w:rsidR="00B747CF" w:rsidRDefault="006503D7" w:rsidP="00CF5911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Zeitgemäß hat INDEX </w:t>
      </w:r>
      <w:r w:rsidR="004D1092">
        <w:rPr>
          <w:rFonts w:ascii="Arial" w:eastAsiaTheme="minorHAnsi" w:hAnsi="Arial" w:cs="Arial"/>
          <w:sz w:val="20"/>
          <w:szCs w:val="20"/>
          <w:lang w:eastAsia="en-US"/>
        </w:rPr>
        <w:t xml:space="preserve">auch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seine 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>zahlreichen Services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B3642"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rund um den Zerspanungsprozess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im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iXworld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-Modul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iXservices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F5911">
        <w:rPr>
          <w:rFonts w:ascii="Arial" w:eastAsiaTheme="minorHAnsi" w:hAnsi="Arial" w:cs="Arial"/>
          <w:sz w:val="20"/>
          <w:szCs w:val="20"/>
          <w:lang w:eastAsia="en-US"/>
        </w:rPr>
        <w:t xml:space="preserve">gebündelt und organisiert. Das bedeutet </w:t>
      </w:r>
      <w:r w:rsidR="002A462C">
        <w:rPr>
          <w:rFonts w:ascii="Arial" w:eastAsiaTheme="minorHAnsi" w:hAnsi="Arial" w:cs="Arial"/>
          <w:sz w:val="20"/>
          <w:szCs w:val="20"/>
          <w:lang w:eastAsia="en-US"/>
        </w:rPr>
        <w:t>natürlich</w:t>
      </w:r>
      <w:r w:rsidR="00067EF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F5911">
        <w:rPr>
          <w:rFonts w:ascii="Arial" w:eastAsiaTheme="minorHAnsi" w:hAnsi="Arial" w:cs="Arial"/>
          <w:sz w:val="20"/>
          <w:szCs w:val="20"/>
          <w:lang w:eastAsia="en-US"/>
        </w:rPr>
        <w:t xml:space="preserve">nicht, dass INDEX nur </w:t>
      </w:r>
      <w:r w:rsidR="009D37A3">
        <w:rPr>
          <w:rFonts w:ascii="Arial" w:eastAsiaTheme="minorHAnsi" w:hAnsi="Arial" w:cs="Arial"/>
          <w:sz w:val="20"/>
          <w:szCs w:val="20"/>
          <w:lang w:eastAsia="en-US"/>
        </w:rPr>
        <w:t xml:space="preserve">noch </w:t>
      </w:r>
      <w:r w:rsidR="00CF5911">
        <w:rPr>
          <w:rFonts w:ascii="Arial" w:eastAsiaTheme="minorHAnsi" w:hAnsi="Arial" w:cs="Arial"/>
          <w:sz w:val="20"/>
          <w:szCs w:val="20"/>
          <w:lang w:eastAsia="en-US"/>
        </w:rPr>
        <w:t xml:space="preserve">virtuell für seine Kunden da ist.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Ü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ber 150 Servicetechniker in Deutschland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und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Servicestandorte in über 50 Ländern weltweit kümmern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sich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 mit großem Engagement um INDEX- und TRAUB-Maschinen und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das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 Anliegen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 aller Kunden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CF5911">
        <w:rPr>
          <w:rFonts w:ascii="Arial" w:eastAsiaTheme="minorHAnsi" w:hAnsi="Arial" w:cs="Arial"/>
          <w:sz w:val="20"/>
          <w:szCs w:val="20"/>
          <w:lang w:eastAsia="en-US"/>
        </w:rPr>
        <w:t xml:space="preserve">Unterstützung gibt es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via Hotline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und besonders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effizient mit dem </w:t>
      </w:r>
      <w:proofErr w:type="spellStart"/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>TicketManager</w:t>
      </w:r>
      <w:proofErr w:type="spellEnd"/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 und innovativer Remoteunterstützung.</w:t>
      </w:r>
      <w:r w:rsidR="00B747CF" w:rsidRPr="00B747C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Und für Aufgaben, die 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die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>Anwesenheit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 eines Servicetechnikers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>vor Ort erfordern, mach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 xml:space="preserve">t sich dieser nach wie vor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 xml:space="preserve">schnellstens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persönlich </w:t>
      </w:r>
      <w:r w:rsidR="00B747CF" w:rsidRPr="008A630D">
        <w:rPr>
          <w:rFonts w:ascii="Arial" w:eastAsiaTheme="minorHAnsi" w:hAnsi="Arial" w:cs="Arial"/>
          <w:sz w:val="20"/>
          <w:szCs w:val="20"/>
          <w:lang w:eastAsia="en-US"/>
        </w:rPr>
        <w:t>auf den Weg</w:t>
      </w:r>
      <w:r w:rsidR="00B747C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067EFB" w:rsidRDefault="00067EFB" w:rsidP="00067EFB">
      <w:pPr>
        <w:pStyle w:val="Listenabsatz"/>
        <w:numPr>
          <w:ilvl w:val="0"/>
          <w:numId w:val="5"/>
        </w:numPr>
        <w:rPr>
          <w:rFonts w:ascii="Arial" w:eastAsiaTheme="minorHAnsi" w:hAnsi="Arial" w:cs="Arial"/>
          <w:sz w:val="20"/>
          <w:szCs w:val="20"/>
          <w:lang w:eastAsia="en-US"/>
        </w:rPr>
      </w:pPr>
      <w:r w:rsidRPr="00067EFB">
        <w:rPr>
          <w:rFonts w:ascii="Arial" w:eastAsiaTheme="minorHAnsi" w:hAnsi="Arial" w:cs="Arial"/>
          <w:sz w:val="20"/>
          <w:szCs w:val="20"/>
          <w:lang w:eastAsia="en-US"/>
        </w:rPr>
        <w:t xml:space="preserve">Entdecken Sie diese und weitere Innovationen auf unseren </w:t>
      </w:r>
      <w:proofErr w:type="spellStart"/>
      <w:r w:rsidRPr="00067EFB">
        <w:rPr>
          <w:rFonts w:ascii="Arial" w:eastAsiaTheme="minorHAnsi" w:hAnsi="Arial" w:cs="Arial"/>
          <w:sz w:val="20"/>
          <w:szCs w:val="20"/>
          <w:lang w:eastAsia="en-US"/>
        </w:rPr>
        <w:t>iXperience</w:t>
      </w:r>
      <w:proofErr w:type="spellEnd"/>
      <w:r w:rsidRPr="00067EF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067EFB">
        <w:rPr>
          <w:rFonts w:ascii="Arial" w:eastAsiaTheme="minorHAnsi" w:hAnsi="Arial" w:cs="Arial"/>
          <w:sz w:val="20"/>
          <w:szCs w:val="20"/>
          <w:lang w:eastAsia="en-US"/>
        </w:rPr>
        <w:t>days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online vom 21.09. – 02.10.2020 und live vom 12.10. – 16.10.</w:t>
      </w:r>
      <w:r w:rsidR="004117DE">
        <w:rPr>
          <w:rFonts w:ascii="Arial" w:eastAsiaTheme="minorHAnsi" w:hAnsi="Arial" w:cs="Arial"/>
          <w:sz w:val="20"/>
          <w:szCs w:val="20"/>
          <w:lang w:eastAsia="en-US"/>
        </w:rPr>
        <w:t>20</w:t>
      </w:r>
      <w:r>
        <w:rPr>
          <w:rFonts w:ascii="Arial" w:eastAsiaTheme="minorHAnsi" w:hAnsi="Arial" w:cs="Arial"/>
          <w:sz w:val="20"/>
          <w:szCs w:val="20"/>
          <w:lang w:eastAsia="en-US"/>
        </w:rPr>
        <w:t>20 in Reichenbach</w:t>
      </w:r>
    </w:p>
    <w:p w:rsidR="00067EFB" w:rsidRPr="00067EFB" w:rsidRDefault="00067EFB" w:rsidP="00067EFB">
      <w:pPr>
        <w:pStyle w:val="Listenabsatz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Jetzt anmelden: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067EF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/>
      </w:r>
      <w:proofErr w:type="spellStart"/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onlinr</w:t>
      </w:r>
      <w:proofErr w:type="spellEnd"/>
    </w:p>
    <w:p w:rsidR="00067EFB" w:rsidRPr="00067EFB" w:rsidRDefault="00067EFB" w:rsidP="00067EFB">
      <w:pPr>
        <w:pStyle w:val="Listenabsatz"/>
        <w:rPr>
          <w:rFonts w:ascii="Arial" w:eastAsiaTheme="minorHAnsi" w:hAnsi="Arial" w:cs="Arial"/>
          <w:sz w:val="20"/>
          <w:szCs w:val="20"/>
          <w:lang w:eastAsia="en-US"/>
        </w:rPr>
      </w:pPr>
      <w:r w:rsidRPr="00067EFB">
        <w:rPr>
          <w:rFonts w:eastAsiaTheme="minorHAnsi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1ABEA152" wp14:editId="2231CE52">
            <wp:simplePos x="0" y="0"/>
            <wp:positionH relativeFrom="column">
              <wp:posOffset>481965</wp:posOffset>
            </wp:positionH>
            <wp:positionV relativeFrom="paragraph">
              <wp:posOffset>128905</wp:posOffset>
            </wp:positionV>
            <wp:extent cx="2476500" cy="756920"/>
            <wp:effectExtent l="0" t="0" r="0" b="5080"/>
            <wp:wrapNone/>
            <wp:docPr id="3" name="Grafik 3" descr="\\Infs-12\index\index_intern\VMW_intern\Messen\2020\45-iXperience Days 12.10. - 16.10\Logo\iXperienceDays_Logo_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nfs-12\index\index_intern\VMW_intern\Messen\2020\45-iXperience Days 12.10. - 16.10\Logo\iXperienceDays_Logo_0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EFB" w:rsidRDefault="004117DE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F4165B9" wp14:editId="1E6BBD76">
            <wp:simplePos x="0" y="0"/>
            <wp:positionH relativeFrom="column">
              <wp:posOffset>3587116</wp:posOffset>
            </wp:positionH>
            <wp:positionV relativeFrom="paragraph">
              <wp:posOffset>12700</wp:posOffset>
            </wp:positionV>
            <wp:extent cx="1047750" cy="1047750"/>
            <wp:effectExtent l="0" t="0" r="0" b="0"/>
            <wp:wrapNone/>
            <wp:docPr id="2" name="Grafik 2" descr="C:\Users\Gondekr\AppData\Local\Microsoft\Windows\INetCache\Content.Word\index-werke_ixdays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dekr\AppData\Local\Microsoft\Windows\INetCache\Content.Word\index-werke_ixdays_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P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Pr="00067EFB" w:rsidRDefault="00067EFB" w:rsidP="00067EF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t xml:space="preserve">              </w:t>
      </w:r>
      <w:r w:rsidR="004117DE">
        <w:t xml:space="preserve">Kurz URL: </w:t>
      </w:r>
      <w:hyperlink r:id="rId10" w:history="1">
        <w:r w:rsidRPr="00067EFB">
          <w:rPr>
            <w:rStyle w:val="Hyperlink"/>
          </w:rPr>
          <w:t>https://www.index-werke.de/ixdays/</w:t>
        </w:r>
      </w:hyperlink>
    </w:p>
    <w:p w:rsidR="00095D05" w:rsidRPr="00067EFB" w:rsidRDefault="00095D05" w:rsidP="00DB4556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67EFB" w:rsidRDefault="00067EFB" w:rsidP="00F32C8A">
      <w:pPr>
        <w:suppressLineNumbers/>
        <w:spacing w:line="336" w:lineRule="auto"/>
        <w:ind w:left="142" w:right="1843"/>
        <w:rPr>
          <w:rFonts w:ascii="Arial" w:hAnsi="Arial" w:cs="Arial"/>
          <w:b/>
          <w:sz w:val="20"/>
          <w:szCs w:val="20"/>
        </w:rPr>
      </w:pPr>
    </w:p>
    <w:p w:rsidR="00F32C8A" w:rsidRPr="008F328D" w:rsidRDefault="00F32C8A" w:rsidP="00F32C8A">
      <w:pPr>
        <w:suppressLineNumbers/>
        <w:spacing w:line="336" w:lineRule="auto"/>
        <w:ind w:left="142" w:right="1843"/>
        <w:rPr>
          <w:rFonts w:ascii="Arial" w:hAnsi="Arial" w:cs="Arial"/>
          <w:sz w:val="20"/>
          <w:szCs w:val="20"/>
        </w:rPr>
      </w:pPr>
      <w:r w:rsidRPr="00D335FC">
        <w:rPr>
          <w:rFonts w:ascii="Arial" w:hAnsi="Arial" w:cs="Arial"/>
          <w:b/>
          <w:sz w:val="20"/>
          <w:szCs w:val="20"/>
        </w:rPr>
        <w:t>Kontakt:</w:t>
      </w:r>
      <w:r w:rsidRPr="00D335FC">
        <w:rPr>
          <w:rFonts w:ascii="Arial" w:hAnsi="Arial" w:cs="Arial"/>
          <w:sz w:val="20"/>
          <w:szCs w:val="20"/>
        </w:rPr>
        <w:tab/>
        <w:t xml:space="preserve">INDEX-Werke GmbH &amp; Co. </w:t>
      </w:r>
      <w:r w:rsidRPr="008F328D">
        <w:rPr>
          <w:rFonts w:ascii="Arial" w:hAnsi="Arial" w:cs="Arial"/>
          <w:sz w:val="20"/>
          <w:szCs w:val="20"/>
        </w:rPr>
        <w:t xml:space="preserve">KG Hahn &amp; </w:t>
      </w:r>
      <w:proofErr w:type="spellStart"/>
      <w:r w:rsidRPr="008F328D">
        <w:rPr>
          <w:rFonts w:ascii="Arial" w:hAnsi="Arial" w:cs="Arial"/>
          <w:sz w:val="20"/>
          <w:szCs w:val="20"/>
        </w:rPr>
        <w:t>Tessky</w:t>
      </w:r>
      <w:proofErr w:type="spellEnd"/>
    </w:p>
    <w:p w:rsidR="00F32C8A" w:rsidRPr="008F328D" w:rsidRDefault="00F32C8A" w:rsidP="00F32C8A">
      <w:pPr>
        <w:suppressLineNumbers/>
        <w:spacing w:line="336" w:lineRule="auto"/>
        <w:ind w:left="709" w:right="1843" w:firstLine="709"/>
        <w:rPr>
          <w:rFonts w:ascii="Arial" w:hAnsi="Arial" w:cs="Arial"/>
          <w:sz w:val="20"/>
          <w:szCs w:val="20"/>
        </w:rPr>
      </w:pPr>
      <w:r w:rsidRPr="008F328D">
        <w:rPr>
          <w:rFonts w:ascii="Arial" w:hAnsi="Arial" w:cs="Arial"/>
          <w:sz w:val="20"/>
          <w:szCs w:val="20"/>
        </w:rPr>
        <w:t>Rainer Gondek</w:t>
      </w:r>
    </w:p>
    <w:p w:rsidR="00F32C8A" w:rsidRPr="00067EFB" w:rsidRDefault="00F32C8A" w:rsidP="00F32C8A">
      <w:pPr>
        <w:suppressLineNumbers/>
        <w:spacing w:line="336" w:lineRule="auto"/>
        <w:ind w:left="709" w:right="1843" w:firstLine="709"/>
        <w:rPr>
          <w:rFonts w:ascii="Arial" w:hAnsi="Arial" w:cs="Arial"/>
          <w:sz w:val="20"/>
          <w:szCs w:val="20"/>
        </w:rPr>
      </w:pPr>
      <w:r w:rsidRPr="00067EFB">
        <w:rPr>
          <w:rFonts w:ascii="Arial" w:hAnsi="Arial" w:cs="Arial"/>
          <w:sz w:val="20"/>
          <w:szCs w:val="20"/>
        </w:rPr>
        <w:t xml:space="preserve">Leiter Global Marketing </w:t>
      </w:r>
    </w:p>
    <w:p w:rsidR="00F32C8A" w:rsidRPr="00067EFB" w:rsidRDefault="00F32C8A" w:rsidP="00F32C8A">
      <w:pPr>
        <w:suppressLineNumbers/>
        <w:spacing w:line="336" w:lineRule="auto"/>
        <w:ind w:left="709" w:right="1843" w:firstLine="709"/>
        <w:rPr>
          <w:rFonts w:ascii="Arial" w:hAnsi="Arial" w:cs="Arial"/>
          <w:sz w:val="20"/>
          <w:szCs w:val="20"/>
        </w:rPr>
      </w:pPr>
      <w:r w:rsidRPr="00067EFB">
        <w:rPr>
          <w:rFonts w:ascii="Arial" w:hAnsi="Arial" w:cs="Arial"/>
          <w:sz w:val="20"/>
          <w:szCs w:val="20"/>
        </w:rPr>
        <w:t>Tel.: +49 (711) 3191-1286</w:t>
      </w:r>
    </w:p>
    <w:p w:rsidR="00F32C8A" w:rsidRPr="00D335FC" w:rsidRDefault="00A6732E" w:rsidP="00F32C8A">
      <w:pPr>
        <w:suppressLineNumbers/>
        <w:spacing w:line="336" w:lineRule="auto"/>
        <w:ind w:left="709" w:right="1843" w:firstLine="709"/>
        <w:rPr>
          <w:rFonts w:ascii="Arial" w:hAnsi="Arial" w:cs="Arial"/>
          <w:sz w:val="20"/>
          <w:szCs w:val="20"/>
        </w:rPr>
      </w:pPr>
      <w:hyperlink r:id="rId11" w:history="1">
        <w:r w:rsidR="00F32C8A" w:rsidRPr="00D335FC">
          <w:rPr>
            <w:rStyle w:val="Hyperlink"/>
            <w:rFonts w:ascii="Arial" w:hAnsi="Arial" w:cs="Arial"/>
            <w:sz w:val="20"/>
            <w:szCs w:val="20"/>
          </w:rPr>
          <w:t>rainer.gondek@index-werke.de</w:t>
        </w:r>
      </w:hyperlink>
      <w:r w:rsidR="00F32C8A" w:rsidRPr="00D335FC">
        <w:rPr>
          <w:rFonts w:ascii="Arial" w:hAnsi="Arial" w:cs="Arial"/>
          <w:sz w:val="20"/>
          <w:szCs w:val="20"/>
        </w:rPr>
        <w:t xml:space="preserve"> </w:t>
      </w:r>
    </w:p>
    <w:p w:rsidR="005F3E24" w:rsidRDefault="005F3E24" w:rsidP="003C2277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95D05" w:rsidRDefault="00095D05" w:rsidP="003C2277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732E" w:rsidRDefault="00A6732E" w:rsidP="003C2277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353A" w:rsidRPr="00D335FC" w:rsidRDefault="00F32C8A" w:rsidP="005A353A">
      <w:pPr>
        <w:spacing w:after="200" w:line="360" w:lineRule="auto"/>
        <w:ind w:left="142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Fotos:</w:t>
      </w:r>
    </w:p>
    <w:p w:rsidR="005A353A" w:rsidRPr="00D335FC" w:rsidRDefault="005A353A" w:rsidP="00D1477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732E" w:rsidRDefault="00F2525C" w:rsidP="00D1477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_GoBack"/>
      <w:r w:rsidRPr="00F2525C">
        <w:rPr>
          <w:rFonts w:ascii="Arial" w:eastAsiaTheme="minorHAnsi" w:hAnsi="Arial" w:cs="Arial"/>
          <w:noProof/>
          <w:sz w:val="20"/>
          <w:szCs w:val="20"/>
          <w:lang w:eastAsia="zh-CN"/>
        </w:rPr>
        <w:drawing>
          <wp:inline distT="0" distB="0" distL="0" distR="0" wp14:anchorId="58B23E0E" wp14:editId="0F473139">
            <wp:extent cx="3095625" cy="2030602"/>
            <wp:effectExtent l="0" t="0" r="0" b="8255"/>
            <wp:docPr id="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961" cy="203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4773" w:rsidRPr="00D335FC" w:rsidRDefault="00D14773" w:rsidP="00D1477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noProof/>
          <w:sz w:val="20"/>
          <w:szCs w:val="20"/>
          <w:lang w:eastAsia="zh-CN"/>
        </w:rPr>
        <w:drawing>
          <wp:inline distT="0" distB="0" distL="0" distR="0" wp14:anchorId="51841B33" wp14:editId="54145F33">
            <wp:extent cx="3295650" cy="159692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03_INDEX_iXcenter_G400mitiXcenter-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0" b="7888"/>
                    <a:stretch/>
                  </pic:blipFill>
                  <pic:spPr bwMode="auto">
                    <a:xfrm>
                      <a:off x="0" y="0"/>
                      <a:ext cx="3333130" cy="1615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773" w:rsidRPr="00D335FC" w:rsidRDefault="00D14773" w:rsidP="00D1477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Bild </w:t>
      </w:r>
      <w:r w:rsidR="00992DBA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095D05">
        <w:rPr>
          <w:rFonts w:ascii="Arial" w:eastAsiaTheme="minorHAnsi" w:hAnsi="Arial" w:cs="Arial"/>
          <w:sz w:val="20"/>
          <w:szCs w:val="20"/>
          <w:lang w:eastAsia="en-US"/>
        </w:rPr>
        <w:t>/2</w:t>
      </w:r>
      <w:r w:rsidR="008F328D">
        <w:rPr>
          <w:rFonts w:ascii="Arial" w:eastAsiaTheme="minorHAnsi" w:hAnsi="Arial" w:cs="Arial"/>
          <w:sz w:val="20"/>
          <w:szCs w:val="20"/>
          <w:lang w:eastAsia="en-US"/>
        </w:rPr>
        <w:t>: Dreh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zentrum INDEX G400 mit </w:t>
      </w:r>
      <w:r w:rsidR="00F2525C">
        <w:rPr>
          <w:rFonts w:ascii="Arial" w:eastAsiaTheme="minorHAnsi" w:hAnsi="Arial" w:cs="Arial"/>
          <w:sz w:val="20"/>
          <w:szCs w:val="20"/>
          <w:lang w:eastAsia="en-US"/>
        </w:rPr>
        <w:t xml:space="preserve">der modularen 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Roboterzelle </w:t>
      </w:r>
      <w:proofErr w:type="spellStart"/>
      <w:r w:rsidRPr="00D335FC">
        <w:rPr>
          <w:rFonts w:ascii="Arial" w:eastAsiaTheme="minorHAnsi" w:hAnsi="Arial" w:cs="Arial"/>
          <w:sz w:val="20"/>
          <w:szCs w:val="20"/>
          <w:lang w:eastAsia="en-US"/>
        </w:rPr>
        <w:t>iXcenter</w:t>
      </w:r>
      <w:proofErr w:type="spellEnd"/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 für die leistungsstarke Bearbeitung von großen Werkstücken</w:t>
      </w:r>
    </w:p>
    <w:p w:rsidR="00D14773" w:rsidRPr="00D335FC" w:rsidRDefault="00D14773" w:rsidP="00D14773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92DBA" w:rsidRPr="00D335FC" w:rsidRDefault="00095D05" w:rsidP="00992DBA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noProof/>
          <w:sz w:val="20"/>
          <w:szCs w:val="20"/>
          <w:lang w:eastAsia="zh-CN"/>
        </w:rPr>
        <w:drawing>
          <wp:anchor distT="0" distB="0" distL="114300" distR="114300" simplePos="0" relativeHeight="251658240" behindDoc="0" locked="0" layoutInCell="1" allowOverlap="1" wp14:anchorId="7153DDEE" wp14:editId="5992AB7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4130" cy="1722755"/>
            <wp:effectExtent l="0" t="0" r="127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nl12_100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DBA" w:rsidRPr="00D335FC">
        <w:rPr>
          <w:rFonts w:ascii="Arial" w:eastAsiaTheme="minorHAnsi" w:hAnsi="Arial" w:cs="Arial"/>
          <w:noProof/>
          <w:sz w:val="20"/>
          <w:szCs w:val="20"/>
          <w:lang w:eastAsia="zh-CN"/>
        </w:rPr>
        <w:drawing>
          <wp:inline distT="0" distB="0" distL="0" distR="0" wp14:anchorId="297B52EB" wp14:editId="223B1E6D">
            <wp:extent cx="3190875" cy="180440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_INDEX_TNL12-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1" b="15582"/>
                    <a:stretch/>
                  </pic:blipFill>
                  <pic:spPr bwMode="auto">
                    <a:xfrm>
                      <a:off x="0" y="0"/>
                      <a:ext cx="3247659" cy="1836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DBA" w:rsidRPr="00D335FC" w:rsidRDefault="00992DBA" w:rsidP="00992DBA">
      <w:pPr>
        <w:spacing w:after="200" w:line="360" w:lineRule="auto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335FC">
        <w:rPr>
          <w:rFonts w:ascii="Arial" w:eastAsiaTheme="minorHAnsi" w:hAnsi="Arial" w:cs="Arial"/>
          <w:sz w:val="20"/>
          <w:szCs w:val="20"/>
          <w:lang w:eastAsia="en-US"/>
        </w:rPr>
        <w:t xml:space="preserve">Bild </w:t>
      </w:r>
      <w:r w:rsidR="00095D05">
        <w:rPr>
          <w:rFonts w:ascii="Arial" w:eastAsiaTheme="minorHAnsi" w:hAnsi="Arial" w:cs="Arial"/>
          <w:sz w:val="20"/>
          <w:szCs w:val="20"/>
          <w:lang w:eastAsia="en-US"/>
        </w:rPr>
        <w:t>3/4</w:t>
      </w:r>
      <w:r w:rsidRPr="00D335FC">
        <w:rPr>
          <w:rFonts w:ascii="Arial" w:eastAsiaTheme="minorHAnsi" w:hAnsi="Arial" w:cs="Arial"/>
          <w:sz w:val="20"/>
          <w:szCs w:val="20"/>
          <w:lang w:eastAsia="en-US"/>
        </w:rPr>
        <w:t>: Deutliche Produktivitätssteigerungen bei kleinen Präzisionsdrehteilen mit dem neuen Lang- und Kurzdrehautomat TRAUB TNL12</w:t>
      </w:r>
    </w:p>
    <w:sectPr w:rsidR="00992DBA" w:rsidRPr="00D335FC" w:rsidSect="00E84366">
      <w:headerReference w:type="default" r:id="rId16"/>
      <w:footerReference w:type="default" r:id="rId17"/>
      <w:type w:val="continuous"/>
      <w:pgSz w:w="11906" w:h="16838" w:code="9"/>
      <w:pgMar w:top="1077" w:right="2267" w:bottom="1134" w:left="1701" w:header="709" w:footer="454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D0" w:rsidRDefault="004857D0">
      <w:r>
        <w:separator/>
      </w:r>
    </w:p>
  </w:endnote>
  <w:endnote w:type="continuationSeparator" w:id="0">
    <w:p w:rsidR="004857D0" w:rsidRDefault="004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HOGI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11" w:rsidRPr="002A0A1F" w:rsidRDefault="00CF5911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</w:t>
    </w:r>
    <w:r w:rsidRPr="002A0A1F">
      <w:rPr>
        <w:rFonts w:ascii="Arial" w:hAnsi="Arial" w:cs="Arial"/>
        <w:sz w:val="18"/>
        <w:szCs w:val="18"/>
      </w:rPr>
      <w:t xml:space="preserve">Seite  </w:t>
    </w:r>
    <w:r w:rsidRPr="002A0A1F">
      <w:rPr>
        <w:rStyle w:val="Seitenzahl"/>
        <w:rFonts w:ascii="Arial" w:hAnsi="Arial" w:cs="Arial"/>
        <w:sz w:val="18"/>
        <w:szCs w:val="18"/>
      </w:rPr>
      <w:fldChar w:fldCharType="begin"/>
    </w:r>
    <w:r w:rsidRPr="002A0A1F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2A0A1F">
      <w:rPr>
        <w:rStyle w:val="Seitenzahl"/>
        <w:rFonts w:ascii="Arial" w:hAnsi="Arial" w:cs="Arial"/>
        <w:sz w:val="18"/>
        <w:szCs w:val="18"/>
      </w:rPr>
      <w:fldChar w:fldCharType="separate"/>
    </w:r>
    <w:r w:rsidR="00A6732E">
      <w:rPr>
        <w:rStyle w:val="Seitenzahl"/>
        <w:rFonts w:ascii="Arial" w:hAnsi="Arial" w:cs="Arial"/>
        <w:noProof/>
        <w:sz w:val="18"/>
        <w:szCs w:val="18"/>
      </w:rPr>
      <w:t>3</w:t>
    </w:r>
    <w:r w:rsidRPr="002A0A1F">
      <w:rPr>
        <w:rStyle w:val="Seitenzahl"/>
        <w:rFonts w:ascii="Arial" w:hAnsi="Arial" w:cs="Arial"/>
        <w:sz w:val="18"/>
        <w:szCs w:val="18"/>
      </w:rPr>
      <w:fldChar w:fldCharType="end"/>
    </w:r>
    <w:r w:rsidRPr="002A0A1F">
      <w:rPr>
        <w:rStyle w:val="Seitenzahl"/>
        <w:rFonts w:ascii="Arial" w:hAnsi="Arial" w:cs="Arial"/>
        <w:sz w:val="18"/>
        <w:szCs w:val="18"/>
      </w:rPr>
      <w:t xml:space="preserve"> von </w:t>
    </w:r>
    <w:r w:rsidRPr="002A0A1F">
      <w:rPr>
        <w:rStyle w:val="Seitenzahl"/>
        <w:rFonts w:ascii="Arial" w:hAnsi="Arial" w:cs="Arial"/>
        <w:sz w:val="18"/>
        <w:szCs w:val="18"/>
      </w:rPr>
      <w:fldChar w:fldCharType="begin"/>
    </w:r>
    <w:r w:rsidRPr="002A0A1F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2A0A1F">
      <w:rPr>
        <w:rStyle w:val="Seitenzahl"/>
        <w:rFonts w:ascii="Arial" w:hAnsi="Arial" w:cs="Arial"/>
        <w:sz w:val="18"/>
        <w:szCs w:val="18"/>
      </w:rPr>
      <w:fldChar w:fldCharType="separate"/>
    </w:r>
    <w:r w:rsidR="00A6732E">
      <w:rPr>
        <w:rStyle w:val="Seitenzahl"/>
        <w:rFonts w:ascii="Arial" w:hAnsi="Arial" w:cs="Arial"/>
        <w:noProof/>
        <w:sz w:val="18"/>
        <w:szCs w:val="18"/>
      </w:rPr>
      <w:t>3</w:t>
    </w:r>
    <w:r w:rsidRPr="002A0A1F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D0" w:rsidRDefault="004857D0">
      <w:r>
        <w:separator/>
      </w:r>
    </w:p>
  </w:footnote>
  <w:footnote w:type="continuationSeparator" w:id="0">
    <w:p w:rsidR="004857D0" w:rsidRDefault="004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11" w:rsidRPr="003D200C" w:rsidRDefault="00CF5911" w:rsidP="008A630D">
    <w:pPr>
      <w:pStyle w:val="Kopfzeile"/>
      <w:tabs>
        <w:tab w:val="clear" w:pos="9072"/>
        <w:tab w:val="right" w:pos="9360"/>
      </w:tabs>
      <w:ind w:left="7799"/>
      <w:rPr>
        <w:lang w:val="en-US"/>
      </w:rPr>
    </w:pPr>
    <w:r w:rsidRPr="003D200C">
      <w:rPr>
        <w:lang w:val="en-US"/>
      </w:rPr>
      <w:tab/>
    </w:r>
    <w:r>
      <w:rPr>
        <w:noProof/>
        <w:lang w:eastAsia="zh-CN"/>
      </w:rPr>
      <w:drawing>
        <wp:inline distT="0" distB="0" distL="0" distR="0" wp14:anchorId="49D68575" wp14:editId="45CAB37E">
          <wp:extent cx="904875" cy="200025"/>
          <wp:effectExtent l="0" t="0" r="9525" b="9525"/>
          <wp:docPr id="6" name="Bild 2" descr="INDEX-25mm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-25mm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5911" w:rsidRDefault="00CF5911" w:rsidP="008A630D">
    <w:pPr>
      <w:pStyle w:val="Kopfzeile"/>
      <w:tabs>
        <w:tab w:val="clear" w:pos="4536"/>
        <w:tab w:val="clear" w:pos="9072"/>
      </w:tabs>
      <w:ind w:left="6840"/>
      <w:jc w:val="right"/>
      <w:rPr>
        <w:rFonts w:ascii="Arial" w:hAnsi="Arial" w:cs="Arial"/>
        <w:sz w:val="16"/>
        <w:lang w:val="en-US"/>
      </w:rPr>
    </w:pPr>
  </w:p>
  <w:p w:rsidR="00CF5911" w:rsidRPr="008178F5" w:rsidRDefault="00CF5911" w:rsidP="008A630D">
    <w:pPr>
      <w:pStyle w:val="Kopfzeile"/>
      <w:tabs>
        <w:tab w:val="clear" w:pos="4536"/>
        <w:tab w:val="clear" w:pos="9072"/>
      </w:tabs>
      <w:ind w:left="6840" w:right="-1560"/>
      <w:jc w:val="cen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 xml:space="preserve">                      Highlights 2020</w:t>
    </w:r>
  </w:p>
  <w:p w:rsidR="00CF5911" w:rsidRPr="003D200C" w:rsidRDefault="00CF5911" w:rsidP="008A630D">
    <w:pPr>
      <w:pStyle w:val="Kopfzeile"/>
      <w:tabs>
        <w:tab w:val="clear" w:pos="4536"/>
        <w:tab w:val="clear" w:pos="9072"/>
      </w:tabs>
      <w:ind w:left="6840" w:right="-1560"/>
      <w:rPr>
        <w:rFonts w:ascii="Arial" w:hAnsi="Arial" w:cs="Arial"/>
        <w:sz w:val="16"/>
        <w:lang w:val="en-US"/>
      </w:rPr>
    </w:pPr>
    <w:r w:rsidRPr="008178F5">
      <w:rPr>
        <w:rFonts w:ascii="Arial" w:hAnsi="Arial" w:cs="Arial"/>
        <w:sz w:val="16"/>
        <w:lang w:val="en-US"/>
      </w:rPr>
      <w:t xml:space="preserve">   </w:t>
    </w:r>
    <w:r w:rsidRPr="008178F5">
      <w:rPr>
        <w:rFonts w:ascii="Arial" w:hAnsi="Arial" w:cs="Arial"/>
        <w:sz w:val="16"/>
        <w:lang w:val="en-US"/>
      </w:rPr>
      <w:tab/>
    </w:r>
    <w:r w:rsidRPr="008178F5">
      <w:rPr>
        <w:rFonts w:ascii="Arial" w:hAnsi="Arial" w:cs="Arial"/>
        <w:sz w:val="16"/>
        <w:lang w:val="en-US"/>
      </w:rPr>
      <w:tab/>
      <w:t xml:space="preserve">  </w:t>
    </w:r>
  </w:p>
  <w:p w:rsidR="00CF5911" w:rsidRPr="008A630D" w:rsidRDefault="00CF5911" w:rsidP="008A6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9F9"/>
    <w:multiLevelType w:val="hybridMultilevel"/>
    <w:tmpl w:val="29144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40EA"/>
    <w:multiLevelType w:val="multilevel"/>
    <w:tmpl w:val="0C0A2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842E2"/>
    <w:multiLevelType w:val="hybridMultilevel"/>
    <w:tmpl w:val="3120E162"/>
    <w:lvl w:ilvl="0" w:tplc="6354E3F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36DB"/>
    <w:multiLevelType w:val="hybridMultilevel"/>
    <w:tmpl w:val="8F2AEB0C"/>
    <w:lvl w:ilvl="0" w:tplc="0B62E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7620"/>
    <w:multiLevelType w:val="hybridMultilevel"/>
    <w:tmpl w:val="862E35EA"/>
    <w:lvl w:ilvl="0" w:tplc="43B6087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72"/>
    <w:rsid w:val="000001ED"/>
    <w:rsid w:val="000004DE"/>
    <w:rsid w:val="00000CF3"/>
    <w:rsid w:val="00003F66"/>
    <w:rsid w:val="00013608"/>
    <w:rsid w:val="000145DC"/>
    <w:rsid w:val="000223C7"/>
    <w:rsid w:val="0002718C"/>
    <w:rsid w:val="000330EB"/>
    <w:rsid w:val="00033FAB"/>
    <w:rsid w:val="00037DD6"/>
    <w:rsid w:val="000417E2"/>
    <w:rsid w:val="00042DA3"/>
    <w:rsid w:val="00046FB5"/>
    <w:rsid w:val="00067EFB"/>
    <w:rsid w:val="00071EFC"/>
    <w:rsid w:val="00092A02"/>
    <w:rsid w:val="00095D05"/>
    <w:rsid w:val="000A09F9"/>
    <w:rsid w:val="000A0DDD"/>
    <w:rsid w:val="000A6B85"/>
    <w:rsid w:val="000A7F31"/>
    <w:rsid w:val="000B0B5B"/>
    <w:rsid w:val="000C2336"/>
    <w:rsid w:val="000D0A3A"/>
    <w:rsid w:val="000D22C6"/>
    <w:rsid w:val="000D3A08"/>
    <w:rsid w:val="000D546A"/>
    <w:rsid w:val="000E7045"/>
    <w:rsid w:val="000E7E0D"/>
    <w:rsid w:val="00107B6B"/>
    <w:rsid w:val="00107F92"/>
    <w:rsid w:val="0011189B"/>
    <w:rsid w:val="00111E3E"/>
    <w:rsid w:val="00112619"/>
    <w:rsid w:val="00120659"/>
    <w:rsid w:val="00123D45"/>
    <w:rsid w:val="00130697"/>
    <w:rsid w:val="00131AC4"/>
    <w:rsid w:val="0013320E"/>
    <w:rsid w:val="001365DF"/>
    <w:rsid w:val="00143AF0"/>
    <w:rsid w:val="00144799"/>
    <w:rsid w:val="00144D74"/>
    <w:rsid w:val="00153114"/>
    <w:rsid w:val="0015427D"/>
    <w:rsid w:val="0016091D"/>
    <w:rsid w:val="00181FF2"/>
    <w:rsid w:val="001867F8"/>
    <w:rsid w:val="00186F99"/>
    <w:rsid w:val="00191224"/>
    <w:rsid w:val="001913D5"/>
    <w:rsid w:val="00192759"/>
    <w:rsid w:val="001960C7"/>
    <w:rsid w:val="001A1972"/>
    <w:rsid w:val="001B1E13"/>
    <w:rsid w:val="001B36CA"/>
    <w:rsid w:val="001B39F6"/>
    <w:rsid w:val="001B7AF4"/>
    <w:rsid w:val="001E05DD"/>
    <w:rsid w:val="001E1539"/>
    <w:rsid w:val="001E6946"/>
    <w:rsid w:val="00201559"/>
    <w:rsid w:val="00206324"/>
    <w:rsid w:val="00207497"/>
    <w:rsid w:val="00207885"/>
    <w:rsid w:val="00211AF2"/>
    <w:rsid w:val="00212595"/>
    <w:rsid w:val="002208C9"/>
    <w:rsid w:val="002213FD"/>
    <w:rsid w:val="00224559"/>
    <w:rsid w:val="00225696"/>
    <w:rsid w:val="00235ED6"/>
    <w:rsid w:val="002361B1"/>
    <w:rsid w:val="002508F8"/>
    <w:rsid w:val="00252394"/>
    <w:rsid w:val="00256000"/>
    <w:rsid w:val="00261CB4"/>
    <w:rsid w:val="00262014"/>
    <w:rsid w:val="00262D8D"/>
    <w:rsid w:val="0026448E"/>
    <w:rsid w:val="00267FDD"/>
    <w:rsid w:val="0027071B"/>
    <w:rsid w:val="00270ADC"/>
    <w:rsid w:val="00284137"/>
    <w:rsid w:val="00284D73"/>
    <w:rsid w:val="00285D73"/>
    <w:rsid w:val="00294D30"/>
    <w:rsid w:val="00295D86"/>
    <w:rsid w:val="002A0A1F"/>
    <w:rsid w:val="002A462C"/>
    <w:rsid w:val="002C2782"/>
    <w:rsid w:val="002C52CB"/>
    <w:rsid w:val="002D038B"/>
    <w:rsid w:val="002D0FF4"/>
    <w:rsid w:val="002D2928"/>
    <w:rsid w:val="002D37B1"/>
    <w:rsid w:val="002E4C83"/>
    <w:rsid w:val="002E52C6"/>
    <w:rsid w:val="002E572F"/>
    <w:rsid w:val="002E74F7"/>
    <w:rsid w:val="002F1927"/>
    <w:rsid w:val="002F40C9"/>
    <w:rsid w:val="002F51C3"/>
    <w:rsid w:val="002F7069"/>
    <w:rsid w:val="0030559E"/>
    <w:rsid w:val="0030733E"/>
    <w:rsid w:val="003240E3"/>
    <w:rsid w:val="00334401"/>
    <w:rsid w:val="00350072"/>
    <w:rsid w:val="00353117"/>
    <w:rsid w:val="00360228"/>
    <w:rsid w:val="00360722"/>
    <w:rsid w:val="0036385F"/>
    <w:rsid w:val="0036726E"/>
    <w:rsid w:val="00367F5D"/>
    <w:rsid w:val="0037311D"/>
    <w:rsid w:val="0037625A"/>
    <w:rsid w:val="00377560"/>
    <w:rsid w:val="0037788C"/>
    <w:rsid w:val="00377F47"/>
    <w:rsid w:val="00381EF9"/>
    <w:rsid w:val="003860F4"/>
    <w:rsid w:val="003924B0"/>
    <w:rsid w:val="003925A8"/>
    <w:rsid w:val="00394986"/>
    <w:rsid w:val="003957DE"/>
    <w:rsid w:val="00395A28"/>
    <w:rsid w:val="00397A76"/>
    <w:rsid w:val="003A7C1B"/>
    <w:rsid w:val="003B0528"/>
    <w:rsid w:val="003B0F98"/>
    <w:rsid w:val="003B5BA9"/>
    <w:rsid w:val="003C0AF9"/>
    <w:rsid w:val="003C2277"/>
    <w:rsid w:val="003C6139"/>
    <w:rsid w:val="003E4D2B"/>
    <w:rsid w:val="003E5584"/>
    <w:rsid w:val="003F60D2"/>
    <w:rsid w:val="00406AB0"/>
    <w:rsid w:val="0041150F"/>
    <w:rsid w:val="004117DE"/>
    <w:rsid w:val="00414CF2"/>
    <w:rsid w:val="00415A87"/>
    <w:rsid w:val="00415D03"/>
    <w:rsid w:val="004203A9"/>
    <w:rsid w:val="004204C8"/>
    <w:rsid w:val="00422AE3"/>
    <w:rsid w:val="00424E75"/>
    <w:rsid w:val="00426195"/>
    <w:rsid w:val="00432DD2"/>
    <w:rsid w:val="00433009"/>
    <w:rsid w:val="00443DDF"/>
    <w:rsid w:val="00446750"/>
    <w:rsid w:val="00447215"/>
    <w:rsid w:val="0046004B"/>
    <w:rsid w:val="00460631"/>
    <w:rsid w:val="00463188"/>
    <w:rsid w:val="00463DF5"/>
    <w:rsid w:val="00467F33"/>
    <w:rsid w:val="004720E4"/>
    <w:rsid w:val="0047346F"/>
    <w:rsid w:val="00475CF0"/>
    <w:rsid w:val="00476642"/>
    <w:rsid w:val="004804E4"/>
    <w:rsid w:val="00480651"/>
    <w:rsid w:val="004857D0"/>
    <w:rsid w:val="0048614F"/>
    <w:rsid w:val="00495221"/>
    <w:rsid w:val="0049679A"/>
    <w:rsid w:val="00496CE2"/>
    <w:rsid w:val="00497A31"/>
    <w:rsid w:val="004A094C"/>
    <w:rsid w:val="004A2FB6"/>
    <w:rsid w:val="004A729F"/>
    <w:rsid w:val="004B2855"/>
    <w:rsid w:val="004B409D"/>
    <w:rsid w:val="004B4C43"/>
    <w:rsid w:val="004B5958"/>
    <w:rsid w:val="004B5999"/>
    <w:rsid w:val="004B6991"/>
    <w:rsid w:val="004C27C0"/>
    <w:rsid w:val="004C61DA"/>
    <w:rsid w:val="004D0E02"/>
    <w:rsid w:val="004D1092"/>
    <w:rsid w:val="004D161C"/>
    <w:rsid w:val="004D5118"/>
    <w:rsid w:val="004D75BA"/>
    <w:rsid w:val="004E3D1C"/>
    <w:rsid w:val="004E6BF4"/>
    <w:rsid w:val="004F048C"/>
    <w:rsid w:val="004F6632"/>
    <w:rsid w:val="004F741B"/>
    <w:rsid w:val="00501800"/>
    <w:rsid w:val="005042F8"/>
    <w:rsid w:val="00504380"/>
    <w:rsid w:val="00521067"/>
    <w:rsid w:val="00521CF6"/>
    <w:rsid w:val="0052567E"/>
    <w:rsid w:val="0053108F"/>
    <w:rsid w:val="005310D0"/>
    <w:rsid w:val="0053423A"/>
    <w:rsid w:val="00534760"/>
    <w:rsid w:val="00543713"/>
    <w:rsid w:val="00543C7E"/>
    <w:rsid w:val="00544BB2"/>
    <w:rsid w:val="0055166D"/>
    <w:rsid w:val="005609F5"/>
    <w:rsid w:val="00566701"/>
    <w:rsid w:val="00573260"/>
    <w:rsid w:val="00573C44"/>
    <w:rsid w:val="005753FB"/>
    <w:rsid w:val="0057633A"/>
    <w:rsid w:val="00577F45"/>
    <w:rsid w:val="00581ADC"/>
    <w:rsid w:val="005A353A"/>
    <w:rsid w:val="005A48B3"/>
    <w:rsid w:val="005A549F"/>
    <w:rsid w:val="005B0DF3"/>
    <w:rsid w:val="005C021E"/>
    <w:rsid w:val="005C6E5A"/>
    <w:rsid w:val="005C721F"/>
    <w:rsid w:val="005D014F"/>
    <w:rsid w:val="005D018C"/>
    <w:rsid w:val="005D5FB8"/>
    <w:rsid w:val="005E00FA"/>
    <w:rsid w:val="005E29EC"/>
    <w:rsid w:val="005F3E24"/>
    <w:rsid w:val="005F3E80"/>
    <w:rsid w:val="005F55FF"/>
    <w:rsid w:val="005F5611"/>
    <w:rsid w:val="005F7A16"/>
    <w:rsid w:val="006027CB"/>
    <w:rsid w:val="006160DC"/>
    <w:rsid w:val="0062379F"/>
    <w:rsid w:val="00627581"/>
    <w:rsid w:val="00630673"/>
    <w:rsid w:val="00637120"/>
    <w:rsid w:val="006503D7"/>
    <w:rsid w:val="0065153A"/>
    <w:rsid w:val="00656679"/>
    <w:rsid w:val="00672561"/>
    <w:rsid w:val="006727C1"/>
    <w:rsid w:val="00675059"/>
    <w:rsid w:val="00677566"/>
    <w:rsid w:val="006803F7"/>
    <w:rsid w:val="00680B31"/>
    <w:rsid w:val="0068145C"/>
    <w:rsid w:val="00683EF2"/>
    <w:rsid w:val="00684280"/>
    <w:rsid w:val="00695EC9"/>
    <w:rsid w:val="00697B66"/>
    <w:rsid w:val="006A5028"/>
    <w:rsid w:val="006A588B"/>
    <w:rsid w:val="006A673A"/>
    <w:rsid w:val="006A6F2B"/>
    <w:rsid w:val="006B4984"/>
    <w:rsid w:val="006C0FD9"/>
    <w:rsid w:val="006C3E18"/>
    <w:rsid w:val="006C44E2"/>
    <w:rsid w:val="006D1B3E"/>
    <w:rsid w:val="006E0AE1"/>
    <w:rsid w:val="006E1B3D"/>
    <w:rsid w:val="006E6820"/>
    <w:rsid w:val="006F25E1"/>
    <w:rsid w:val="006F2CD8"/>
    <w:rsid w:val="006F7DCA"/>
    <w:rsid w:val="007048E3"/>
    <w:rsid w:val="0071341B"/>
    <w:rsid w:val="00713606"/>
    <w:rsid w:val="00717063"/>
    <w:rsid w:val="00717BFA"/>
    <w:rsid w:val="00722578"/>
    <w:rsid w:val="00727E85"/>
    <w:rsid w:val="00734673"/>
    <w:rsid w:val="00740E7F"/>
    <w:rsid w:val="00743C92"/>
    <w:rsid w:val="00745E7E"/>
    <w:rsid w:val="00747230"/>
    <w:rsid w:val="00751511"/>
    <w:rsid w:val="0076014F"/>
    <w:rsid w:val="00760FEC"/>
    <w:rsid w:val="00761098"/>
    <w:rsid w:val="00761B1E"/>
    <w:rsid w:val="00764F00"/>
    <w:rsid w:val="007652CE"/>
    <w:rsid w:val="007661DA"/>
    <w:rsid w:val="0077349B"/>
    <w:rsid w:val="00775FA5"/>
    <w:rsid w:val="00776180"/>
    <w:rsid w:val="00786B4C"/>
    <w:rsid w:val="007874F6"/>
    <w:rsid w:val="00790FA8"/>
    <w:rsid w:val="00793000"/>
    <w:rsid w:val="007A7797"/>
    <w:rsid w:val="007B0855"/>
    <w:rsid w:val="007B1419"/>
    <w:rsid w:val="007B1DCF"/>
    <w:rsid w:val="007B1E16"/>
    <w:rsid w:val="007B5F69"/>
    <w:rsid w:val="007B737D"/>
    <w:rsid w:val="007D0AA2"/>
    <w:rsid w:val="007D169D"/>
    <w:rsid w:val="007D5D2B"/>
    <w:rsid w:val="007E37E5"/>
    <w:rsid w:val="007F052C"/>
    <w:rsid w:val="00800F22"/>
    <w:rsid w:val="0080270B"/>
    <w:rsid w:val="008036F7"/>
    <w:rsid w:val="00807CE8"/>
    <w:rsid w:val="00813110"/>
    <w:rsid w:val="008133B0"/>
    <w:rsid w:val="00815941"/>
    <w:rsid w:val="008177F0"/>
    <w:rsid w:val="008178F5"/>
    <w:rsid w:val="00847216"/>
    <w:rsid w:val="00847D66"/>
    <w:rsid w:val="00851066"/>
    <w:rsid w:val="00853E22"/>
    <w:rsid w:val="0085749B"/>
    <w:rsid w:val="0086192A"/>
    <w:rsid w:val="0086295F"/>
    <w:rsid w:val="00863CDE"/>
    <w:rsid w:val="00867F14"/>
    <w:rsid w:val="00877CBA"/>
    <w:rsid w:val="008858D7"/>
    <w:rsid w:val="0088677D"/>
    <w:rsid w:val="008A0474"/>
    <w:rsid w:val="008A3663"/>
    <w:rsid w:val="008A630D"/>
    <w:rsid w:val="008A6D13"/>
    <w:rsid w:val="008B5385"/>
    <w:rsid w:val="008B58B8"/>
    <w:rsid w:val="008B765E"/>
    <w:rsid w:val="008C104C"/>
    <w:rsid w:val="008C3A38"/>
    <w:rsid w:val="008C4772"/>
    <w:rsid w:val="008C66BE"/>
    <w:rsid w:val="008D1A51"/>
    <w:rsid w:val="008D6EB5"/>
    <w:rsid w:val="008E1553"/>
    <w:rsid w:val="008E268C"/>
    <w:rsid w:val="008F1C00"/>
    <w:rsid w:val="008F328D"/>
    <w:rsid w:val="00901621"/>
    <w:rsid w:val="00904D06"/>
    <w:rsid w:val="00904F52"/>
    <w:rsid w:val="0091190A"/>
    <w:rsid w:val="00917F2E"/>
    <w:rsid w:val="009218D6"/>
    <w:rsid w:val="00926B09"/>
    <w:rsid w:val="0093136C"/>
    <w:rsid w:val="0094120E"/>
    <w:rsid w:val="00946D88"/>
    <w:rsid w:val="00955761"/>
    <w:rsid w:val="009661B7"/>
    <w:rsid w:val="00971814"/>
    <w:rsid w:val="00971F9F"/>
    <w:rsid w:val="00976D01"/>
    <w:rsid w:val="00980C02"/>
    <w:rsid w:val="00982BA0"/>
    <w:rsid w:val="00985312"/>
    <w:rsid w:val="00992DBA"/>
    <w:rsid w:val="00993817"/>
    <w:rsid w:val="00994501"/>
    <w:rsid w:val="009951D4"/>
    <w:rsid w:val="009A0DFB"/>
    <w:rsid w:val="009A2376"/>
    <w:rsid w:val="009B59B8"/>
    <w:rsid w:val="009C133D"/>
    <w:rsid w:val="009C1E01"/>
    <w:rsid w:val="009C44F2"/>
    <w:rsid w:val="009D31CF"/>
    <w:rsid w:val="009D37A3"/>
    <w:rsid w:val="009E1274"/>
    <w:rsid w:val="009E1C1C"/>
    <w:rsid w:val="009E4663"/>
    <w:rsid w:val="009E6EA1"/>
    <w:rsid w:val="009F163D"/>
    <w:rsid w:val="009F28B1"/>
    <w:rsid w:val="009F3B72"/>
    <w:rsid w:val="009F446A"/>
    <w:rsid w:val="009F5052"/>
    <w:rsid w:val="009F790F"/>
    <w:rsid w:val="009F7F05"/>
    <w:rsid w:val="00A269CE"/>
    <w:rsid w:val="00A32630"/>
    <w:rsid w:val="00A37BBA"/>
    <w:rsid w:val="00A50F9C"/>
    <w:rsid w:val="00A53DF8"/>
    <w:rsid w:val="00A662A5"/>
    <w:rsid w:val="00A6732E"/>
    <w:rsid w:val="00A70851"/>
    <w:rsid w:val="00A716C4"/>
    <w:rsid w:val="00A72BAE"/>
    <w:rsid w:val="00A73611"/>
    <w:rsid w:val="00A73987"/>
    <w:rsid w:val="00A769FD"/>
    <w:rsid w:val="00A7749A"/>
    <w:rsid w:val="00A81CD2"/>
    <w:rsid w:val="00A83A93"/>
    <w:rsid w:val="00A83F0A"/>
    <w:rsid w:val="00A84A49"/>
    <w:rsid w:val="00A94162"/>
    <w:rsid w:val="00A95DB7"/>
    <w:rsid w:val="00A96370"/>
    <w:rsid w:val="00AA49F6"/>
    <w:rsid w:val="00AA4DE4"/>
    <w:rsid w:val="00AB253A"/>
    <w:rsid w:val="00AB5101"/>
    <w:rsid w:val="00AC37E7"/>
    <w:rsid w:val="00AD1B3A"/>
    <w:rsid w:val="00AD5157"/>
    <w:rsid w:val="00AE1178"/>
    <w:rsid w:val="00AE220D"/>
    <w:rsid w:val="00AE64C2"/>
    <w:rsid w:val="00AF04B8"/>
    <w:rsid w:val="00B05448"/>
    <w:rsid w:val="00B062A9"/>
    <w:rsid w:val="00B106E6"/>
    <w:rsid w:val="00B143BF"/>
    <w:rsid w:val="00B32197"/>
    <w:rsid w:val="00B33C24"/>
    <w:rsid w:val="00B34F75"/>
    <w:rsid w:val="00B44177"/>
    <w:rsid w:val="00B44AA4"/>
    <w:rsid w:val="00B50378"/>
    <w:rsid w:val="00B6086D"/>
    <w:rsid w:val="00B60D19"/>
    <w:rsid w:val="00B611AA"/>
    <w:rsid w:val="00B6229B"/>
    <w:rsid w:val="00B71BC4"/>
    <w:rsid w:val="00B724D5"/>
    <w:rsid w:val="00B747CF"/>
    <w:rsid w:val="00B76920"/>
    <w:rsid w:val="00B87AC5"/>
    <w:rsid w:val="00B9037B"/>
    <w:rsid w:val="00B96674"/>
    <w:rsid w:val="00BA4288"/>
    <w:rsid w:val="00BA57CA"/>
    <w:rsid w:val="00BA5C61"/>
    <w:rsid w:val="00BB3AEB"/>
    <w:rsid w:val="00BD264F"/>
    <w:rsid w:val="00BD512C"/>
    <w:rsid w:val="00BE68C8"/>
    <w:rsid w:val="00BE7797"/>
    <w:rsid w:val="00BE79B9"/>
    <w:rsid w:val="00BF127F"/>
    <w:rsid w:val="00BF5362"/>
    <w:rsid w:val="00BF7959"/>
    <w:rsid w:val="00C01F56"/>
    <w:rsid w:val="00C0374E"/>
    <w:rsid w:val="00C06334"/>
    <w:rsid w:val="00C154E1"/>
    <w:rsid w:val="00C205C7"/>
    <w:rsid w:val="00C35B6D"/>
    <w:rsid w:val="00C460E5"/>
    <w:rsid w:val="00C52C2E"/>
    <w:rsid w:val="00C5688F"/>
    <w:rsid w:val="00C571F6"/>
    <w:rsid w:val="00C63FCB"/>
    <w:rsid w:val="00C71D48"/>
    <w:rsid w:val="00C76642"/>
    <w:rsid w:val="00C80D8C"/>
    <w:rsid w:val="00C91B10"/>
    <w:rsid w:val="00C921AF"/>
    <w:rsid w:val="00C96D56"/>
    <w:rsid w:val="00CA132B"/>
    <w:rsid w:val="00CA1540"/>
    <w:rsid w:val="00CA3275"/>
    <w:rsid w:val="00CB3691"/>
    <w:rsid w:val="00CC2163"/>
    <w:rsid w:val="00CC3F7A"/>
    <w:rsid w:val="00CC7AA6"/>
    <w:rsid w:val="00CD0992"/>
    <w:rsid w:val="00CD59EA"/>
    <w:rsid w:val="00CD6D21"/>
    <w:rsid w:val="00CE0DA3"/>
    <w:rsid w:val="00CE3C6A"/>
    <w:rsid w:val="00CE4C4B"/>
    <w:rsid w:val="00CE5DA1"/>
    <w:rsid w:val="00CE6586"/>
    <w:rsid w:val="00CF3E31"/>
    <w:rsid w:val="00CF5911"/>
    <w:rsid w:val="00D04BF0"/>
    <w:rsid w:val="00D14773"/>
    <w:rsid w:val="00D15798"/>
    <w:rsid w:val="00D16F4D"/>
    <w:rsid w:val="00D222A0"/>
    <w:rsid w:val="00D23ACD"/>
    <w:rsid w:val="00D25284"/>
    <w:rsid w:val="00D26A4B"/>
    <w:rsid w:val="00D2753C"/>
    <w:rsid w:val="00D335FC"/>
    <w:rsid w:val="00D407E1"/>
    <w:rsid w:val="00D512FA"/>
    <w:rsid w:val="00D56971"/>
    <w:rsid w:val="00D5710F"/>
    <w:rsid w:val="00D7009F"/>
    <w:rsid w:val="00D70682"/>
    <w:rsid w:val="00D80C3D"/>
    <w:rsid w:val="00D82EFA"/>
    <w:rsid w:val="00D96A3F"/>
    <w:rsid w:val="00D96EF7"/>
    <w:rsid w:val="00DA105D"/>
    <w:rsid w:val="00DA2163"/>
    <w:rsid w:val="00DA3ABF"/>
    <w:rsid w:val="00DA4919"/>
    <w:rsid w:val="00DB20D7"/>
    <w:rsid w:val="00DB3BB2"/>
    <w:rsid w:val="00DB4556"/>
    <w:rsid w:val="00DB6DA3"/>
    <w:rsid w:val="00DC6E3B"/>
    <w:rsid w:val="00DD273B"/>
    <w:rsid w:val="00DE2001"/>
    <w:rsid w:val="00DE40C9"/>
    <w:rsid w:val="00DF72D5"/>
    <w:rsid w:val="00E012F8"/>
    <w:rsid w:val="00E07D31"/>
    <w:rsid w:val="00E07DAF"/>
    <w:rsid w:val="00E1488A"/>
    <w:rsid w:val="00E148DF"/>
    <w:rsid w:val="00E17752"/>
    <w:rsid w:val="00E217FF"/>
    <w:rsid w:val="00E24CCC"/>
    <w:rsid w:val="00E303AC"/>
    <w:rsid w:val="00E35A69"/>
    <w:rsid w:val="00E3784D"/>
    <w:rsid w:val="00E462F7"/>
    <w:rsid w:val="00E571FC"/>
    <w:rsid w:val="00E57B74"/>
    <w:rsid w:val="00E6620E"/>
    <w:rsid w:val="00E74DB2"/>
    <w:rsid w:val="00E82AA1"/>
    <w:rsid w:val="00E84366"/>
    <w:rsid w:val="00E905AC"/>
    <w:rsid w:val="00E93E16"/>
    <w:rsid w:val="00E94870"/>
    <w:rsid w:val="00EA402B"/>
    <w:rsid w:val="00EA613C"/>
    <w:rsid w:val="00EA7A1A"/>
    <w:rsid w:val="00EB31E0"/>
    <w:rsid w:val="00EB3642"/>
    <w:rsid w:val="00EB7121"/>
    <w:rsid w:val="00EC0EE6"/>
    <w:rsid w:val="00EC3D9F"/>
    <w:rsid w:val="00EC4279"/>
    <w:rsid w:val="00EC58B3"/>
    <w:rsid w:val="00EC72BC"/>
    <w:rsid w:val="00EE5A18"/>
    <w:rsid w:val="00EF1934"/>
    <w:rsid w:val="00EF7037"/>
    <w:rsid w:val="00F01E4A"/>
    <w:rsid w:val="00F0517F"/>
    <w:rsid w:val="00F10062"/>
    <w:rsid w:val="00F10547"/>
    <w:rsid w:val="00F2525C"/>
    <w:rsid w:val="00F26A5A"/>
    <w:rsid w:val="00F2707A"/>
    <w:rsid w:val="00F32C8A"/>
    <w:rsid w:val="00F37509"/>
    <w:rsid w:val="00F3781E"/>
    <w:rsid w:val="00F45B27"/>
    <w:rsid w:val="00F47829"/>
    <w:rsid w:val="00F5103E"/>
    <w:rsid w:val="00F551E6"/>
    <w:rsid w:val="00F71EDD"/>
    <w:rsid w:val="00F75C79"/>
    <w:rsid w:val="00F76584"/>
    <w:rsid w:val="00F76CA9"/>
    <w:rsid w:val="00F77D68"/>
    <w:rsid w:val="00F822B2"/>
    <w:rsid w:val="00F84604"/>
    <w:rsid w:val="00F851F5"/>
    <w:rsid w:val="00F9394B"/>
    <w:rsid w:val="00F969E1"/>
    <w:rsid w:val="00FA3C6D"/>
    <w:rsid w:val="00FA6635"/>
    <w:rsid w:val="00FB5DE6"/>
    <w:rsid w:val="00FB5E28"/>
    <w:rsid w:val="00FB740A"/>
    <w:rsid w:val="00FC429B"/>
    <w:rsid w:val="00FC78CF"/>
    <w:rsid w:val="00FD6BE2"/>
    <w:rsid w:val="00FE24D6"/>
    <w:rsid w:val="00FE2B5E"/>
    <w:rsid w:val="00FE395A"/>
    <w:rsid w:val="00FF514D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4468FD"/>
  <w15:docId w15:val="{CECEE61C-F32E-4B19-989D-F9DBF73F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5284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86295F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45E7E"/>
    <w:rPr>
      <w:color w:val="0000FF"/>
      <w:u w:val="single"/>
    </w:rPr>
  </w:style>
  <w:style w:type="paragraph" w:styleId="Sprechblasentext">
    <w:name w:val="Balloon Text"/>
    <w:basedOn w:val="Standard"/>
    <w:semiHidden/>
    <w:rsid w:val="008D6EB5"/>
    <w:rPr>
      <w:rFonts w:ascii="Tahoma" w:hAnsi="Tahoma" w:cs="Tahoma"/>
      <w:sz w:val="16"/>
      <w:szCs w:val="16"/>
    </w:rPr>
  </w:style>
  <w:style w:type="character" w:styleId="BesuchterLink">
    <w:name w:val="FollowedHyperlink"/>
    <w:rsid w:val="003E4D2B"/>
    <w:rPr>
      <w:color w:val="606420"/>
      <w:u w:val="single"/>
    </w:rPr>
  </w:style>
  <w:style w:type="paragraph" w:customStyle="1" w:styleId="berschrift32">
    <w:name w:val="Überschrift 32"/>
    <w:basedOn w:val="Standard"/>
    <w:rsid w:val="00A269CE"/>
    <w:pPr>
      <w:outlineLvl w:val="3"/>
    </w:pPr>
    <w:rPr>
      <w:b/>
      <w:bCs/>
      <w:color w:val="000000"/>
      <w:sz w:val="26"/>
      <w:szCs w:val="26"/>
    </w:rPr>
  </w:style>
  <w:style w:type="paragraph" w:styleId="Beschriftung">
    <w:name w:val="caption"/>
    <w:basedOn w:val="Standard"/>
    <w:next w:val="Standard"/>
    <w:qFormat/>
    <w:rsid w:val="0093136C"/>
    <w:pPr>
      <w:spacing w:before="120" w:after="120"/>
    </w:pPr>
    <w:rPr>
      <w:b/>
      <w:bCs/>
      <w:sz w:val="20"/>
      <w:szCs w:val="20"/>
    </w:rPr>
  </w:style>
  <w:style w:type="paragraph" w:styleId="Kopfzeile">
    <w:name w:val="header"/>
    <w:basedOn w:val="Standard"/>
    <w:link w:val="KopfzeileZchn"/>
    <w:rsid w:val="00D80C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80C3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A0A1F"/>
  </w:style>
  <w:style w:type="paragraph" w:customStyle="1" w:styleId="StandardWeb2">
    <w:name w:val="Standard (Web)2"/>
    <w:basedOn w:val="Standard"/>
    <w:rsid w:val="008F1C00"/>
    <w:rPr>
      <w:color w:val="000000"/>
      <w:sz w:val="26"/>
      <w:szCs w:val="26"/>
    </w:rPr>
  </w:style>
  <w:style w:type="paragraph" w:styleId="Dokumentstruktur">
    <w:name w:val="Document Map"/>
    <w:basedOn w:val="Standard"/>
    <w:semiHidden/>
    <w:rsid w:val="001B36CA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EF7037"/>
    <w:pPr>
      <w:autoSpaceDE w:val="0"/>
      <w:autoSpaceDN w:val="0"/>
      <w:adjustRightInd w:val="0"/>
    </w:pPr>
    <w:rPr>
      <w:rFonts w:ascii="LHOGI B+ Univers" w:hAnsi="LHOGI B+ Univers" w:cs="LHOGI B+ Univers"/>
      <w:color w:val="000000"/>
      <w:sz w:val="24"/>
      <w:szCs w:val="24"/>
    </w:rPr>
  </w:style>
  <w:style w:type="paragraph" w:customStyle="1" w:styleId="Hauptberschrift">
    <w:name w:val="Hauptüberschrift"/>
    <w:basedOn w:val="Standard"/>
    <w:rsid w:val="00235ED6"/>
    <w:pPr>
      <w:spacing w:after="120" w:line="360" w:lineRule="auto"/>
    </w:pPr>
    <w:rPr>
      <w:rFonts w:ascii="Arial" w:hAnsi="Arial" w:cs="Arial"/>
      <w:b/>
      <w:sz w:val="36"/>
      <w:szCs w:val="36"/>
    </w:rPr>
  </w:style>
  <w:style w:type="paragraph" w:customStyle="1" w:styleId="Listenabsatz1">
    <w:name w:val="Listenabsatz1"/>
    <w:basedOn w:val="Standard"/>
    <w:rsid w:val="00E57B74"/>
    <w:pPr>
      <w:ind w:left="720"/>
      <w:contextualSpacing/>
    </w:pPr>
  </w:style>
  <w:style w:type="character" w:styleId="Zeilennummer">
    <w:name w:val="line number"/>
    <w:basedOn w:val="Absatz-Standardschriftart"/>
    <w:rsid w:val="00F37509"/>
  </w:style>
  <w:style w:type="paragraph" w:styleId="berarbeitung">
    <w:name w:val="Revision"/>
    <w:hidden/>
    <w:uiPriority w:val="99"/>
    <w:semiHidden/>
    <w:rsid w:val="005310D0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8A630D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06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821">
          <w:marLeft w:val="0"/>
          <w:marRight w:val="0"/>
          <w:marTop w:val="0"/>
          <w:marBottom w:val="0"/>
          <w:divBdr>
            <w:top w:val="single" w:sz="2" w:space="0" w:color="000000"/>
            <w:left w:val="single" w:sz="6" w:space="0" w:color="98989B"/>
            <w:bottom w:val="single" w:sz="6" w:space="0" w:color="000000"/>
            <w:right w:val="single" w:sz="6" w:space="0" w:color="000000"/>
          </w:divBdr>
          <w:divsChild>
            <w:div w:id="1941572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6" w:space="0" w:color="98989B"/>
                <w:bottom w:val="single" w:sz="6" w:space="0" w:color="000000"/>
                <w:right w:val="single" w:sz="6" w:space="0" w:color="000000"/>
              </w:divBdr>
              <w:divsChild>
                <w:div w:id="14424130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98989B"/>
                    <w:bottom w:val="single" w:sz="6" w:space="0" w:color="000000"/>
                    <w:right w:val="single" w:sz="6" w:space="0" w:color="000000"/>
                  </w:divBdr>
                  <w:divsChild>
                    <w:div w:id="7404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610">
      <w:marLeft w:val="0"/>
      <w:marRight w:val="0"/>
      <w:marTop w:val="2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iner.gondek@index-werke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index-werke.de/ixday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6248-68D1-45F8-BD5E-40F688C3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INDEX Highlights 2020</vt:lpstr>
    </vt:vector>
  </TitlesOfParts>
  <Company>INDEX-Werke GmbH &amp; Co. KG</Company>
  <LinksUpToDate>false</LinksUpToDate>
  <CharactersWithSpaces>4470</CharactersWithSpaces>
  <SharedDoc>false</SharedDoc>
  <HLinks>
    <vt:vector size="6" baseType="variant"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mailto:michael.czudaj@index-werke.de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INDEX Highlights 2020</dc:title>
  <dc:creator>INDEX-Werke GmbH &amp; Co. KG</dc:creator>
  <cp:lastModifiedBy>Janke, Nicole</cp:lastModifiedBy>
  <cp:revision>3</cp:revision>
  <cp:lastPrinted>2020-08-10T12:57:00Z</cp:lastPrinted>
  <dcterms:created xsi:type="dcterms:W3CDTF">2020-08-27T12:33:00Z</dcterms:created>
  <dcterms:modified xsi:type="dcterms:W3CDTF">2020-08-28T08:05:00Z</dcterms:modified>
</cp:coreProperties>
</file>